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A338">
      <w:pPr>
        <w:pStyle w:val="2"/>
        <w:ind w:firstLine="562"/>
        <w:jc w:val="left"/>
        <w:rPr>
          <w:sz w:val="28"/>
          <w:szCs w:val="48"/>
        </w:rPr>
      </w:pPr>
      <w:bookmarkStart w:id="0" w:name="_Toc256"/>
      <w:bookmarkStart w:id="1" w:name="_Hlk114584377"/>
      <w:r>
        <w:rPr>
          <w:rFonts w:hint="eastAsia"/>
          <w:sz w:val="28"/>
          <w:szCs w:val="48"/>
        </w:rPr>
        <w:t>附件</w:t>
      </w:r>
      <w:bookmarkStart w:id="9" w:name="_GoBack"/>
      <w:bookmarkEnd w:id="9"/>
    </w:p>
    <w:p w14:paraId="34BB801A">
      <w:pPr>
        <w:pStyle w:val="2"/>
        <w:ind w:firstLine="562"/>
        <w:rPr>
          <w:sz w:val="28"/>
          <w:szCs w:val="48"/>
        </w:rPr>
      </w:pPr>
      <w:r>
        <w:rPr>
          <w:rFonts w:hint="eastAsia"/>
          <w:sz w:val="28"/>
          <w:szCs w:val="48"/>
        </w:rPr>
        <w:t>技术规范和服务要求</w:t>
      </w:r>
      <w:bookmarkEnd w:id="0"/>
    </w:p>
    <w:p w14:paraId="126CD525">
      <w:pPr>
        <w:ind w:firstLine="440"/>
        <w:rPr>
          <w:sz w:val="22"/>
          <w:szCs w:val="28"/>
        </w:rPr>
      </w:pPr>
    </w:p>
    <w:p w14:paraId="6A53C531">
      <w:pPr>
        <w:pStyle w:val="3"/>
        <w:spacing w:line="560" w:lineRule="exact"/>
        <w:rPr>
          <w:sz w:val="24"/>
          <w:szCs w:val="24"/>
        </w:rPr>
      </w:pPr>
      <w:bookmarkStart w:id="2" w:name="_Toc82338235"/>
      <w:bookmarkStart w:id="3" w:name="_Toc82873318"/>
      <w:bookmarkStart w:id="4" w:name="_Toc450840084"/>
      <w:bookmarkStart w:id="5" w:name="_Toc8678"/>
      <w:r>
        <w:rPr>
          <w:sz w:val="24"/>
          <w:szCs w:val="24"/>
        </w:rPr>
        <w:t>1</w:t>
      </w:r>
      <w:r>
        <w:rPr>
          <w:rFonts w:hint="eastAsia"/>
          <w:sz w:val="24"/>
          <w:szCs w:val="24"/>
        </w:rPr>
        <w:t>相关法规、管理条例与技术标准、行业规范</w:t>
      </w:r>
      <w:bookmarkEnd w:id="2"/>
      <w:bookmarkEnd w:id="3"/>
      <w:bookmarkEnd w:id="4"/>
      <w:bookmarkEnd w:id="5"/>
    </w:p>
    <w:p w14:paraId="075D2766">
      <w:pPr>
        <w:spacing w:line="560" w:lineRule="exact"/>
        <w:ind w:firstLine="440"/>
        <w:rPr>
          <w:sz w:val="24"/>
          <w:szCs w:val="24"/>
        </w:rPr>
      </w:pPr>
      <w:r>
        <w:rPr>
          <w:sz w:val="24"/>
          <w:szCs w:val="24"/>
        </w:rPr>
        <w:t xml:space="preserve">1.1 </w:t>
      </w:r>
      <w:r>
        <w:rPr>
          <w:rFonts w:hint="eastAsia"/>
          <w:sz w:val="24"/>
          <w:szCs w:val="24"/>
        </w:rPr>
        <w:t>国家规定的标准和规范，有新标准按新标准执行；</w:t>
      </w:r>
    </w:p>
    <w:p w14:paraId="6E35A7FA">
      <w:pPr>
        <w:spacing w:line="560" w:lineRule="exact"/>
        <w:ind w:firstLine="440"/>
        <w:rPr>
          <w:sz w:val="24"/>
          <w:szCs w:val="24"/>
        </w:rPr>
      </w:pPr>
      <w:r>
        <w:rPr>
          <w:sz w:val="24"/>
          <w:szCs w:val="24"/>
        </w:rPr>
        <w:t>1.2</w:t>
      </w:r>
      <w:r>
        <w:rPr>
          <w:rFonts w:hint="eastAsia"/>
          <w:sz w:val="24"/>
          <w:szCs w:val="24"/>
        </w:rPr>
        <w:t>行业标准及规范，有新标准按新标准执行；</w:t>
      </w:r>
    </w:p>
    <w:p w14:paraId="4899E7A2">
      <w:pPr>
        <w:spacing w:line="560" w:lineRule="exact"/>
        <w:ind w:firstLine="440"/>
        <w:rPr>
          <w:sz w:val="24"/>
          <w:szCs w:val="24"/>
        </w:rPr>
      </w:pPr>
      <w:r>
        <w:rPr>
          <w:sz w:val="24"/>
          <w:szCs w:val="24"/>
        </w:rPr>
        <w:t>1.3</w:t>
      </w:r>
      <w:r>
        <w:rPr>
          <w:rFonts w:hint="eastAsia"/>
          <w:sz w:val="24"/>
          <w:szCs w:val="24"/>
        </w:rPr>
        <w:t>其他相关标准。</w:t>
      </w:r>
    </w:p>
    <w:p w14:paraId="1E75255A">
      <w:pPr>
        <w:pStyle w:val="3"/>
        <w:spacing w:line="560" w:lineRule="exact"/>
        <w:rPr>
          <w:sz w:val="24"/>
          <w:szCs w:val="24"/>
        </w:rPr>
      </w:pPr>
      <w:bookmarkStart w:id="6" w:name="_Toc462404027"/>
      <w:bookmarkStart w:id="7" w:name="_Toc26513"/>
      <w:bookmarkStart w:id="8" w:name="_Toc450840085"/>
      <w:r>
        <w:rPr>
          <w:rFonts w:hint="eastAsia"/>
          <w:sz w:val="24"/>
          <w:szCs w:val="24"/>
        </w:rPr>
        <w:t>2详细参数要求</w:t>
      </w:r>
      <w:bookmarkEnd w:id="6"/>
      <w:bookmarkEnd w:id="7"/>
    </w:p>
    <w:bookmarkEnd w:id="8"/>
    <w:p w14:paraId="3397B0A2">
      <w:pPr>
        <w:widowControl/>
        <w:spacing w:line="560" w:lineRule="exact"/>
        <w:ind w:left="63" w:leftChars="30" w:right="63" w:firstLine="440"/>
        <w:jc w:val="left"/>
        <w:rPr>
          <w:rFonts w:ascii="宋体" w:hAnsi="宋体" w:cs="宋体"/>
          <w:kern w:val="0"/>
          <w:sz w:val="24"/>
          <w:szCs w:val="24"/>
        </w:rPr>
      </w:pPr>
      <w:r>
        <w:rPr>
          <w:rFonts w:ascii="宋体" w:hAnsi="宋体" w:cs="宋体"/>
          <w:kern w:val="0"/>
          <w:sz w:val="24"/>
          <w:szCs w:val="24"/>
        </w:rPr>
        <w:t>2.1.1.</w:t>
      </w:r>
      <w:r>
        <w:rPr>
          <w:rFonts w:hint="eastAsia" w:ascii="宋体" w:hAnsi="宋体" w:cs="宋体"/>
          <w:kern w:val="0"/>
          <w:sz w:val="24"/>
          <w:szCs w:val="24"/>
        </w:rPr>
        <w:t>工作依据</w:t>
      </w:r>
    </w:p>
    <w:p w14:paraId="209EA542">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《浅层地震勘察技术规范（</w:t>
      </w:r>
      <w:r>
        <w:rPr>
          <w:rFonts w:ascii="宋体" w:hAnsi="宋体" w:cs="宋体"/>
          <w:kern w:val="0"/>
          <w:sz w:val="24"/>
          <w:szCs w:val="24"/>
        </w:rPr>
        <w:t>DZ/T0170</w:t>
      </w:r>
      <w:r>
        <w:rPr>
          <w:rFonts w:hint="eastAsia" w:ascii="宋体" w:hAnsi="宋体" w:cs="宋体"/>
          <w:kern w:val="0"/>
          <w:sz w:val="24"/>
          <w:szCs w:val="24"/>
        </w:rPr>
        <w:t>－</w:t>
      </w:r>
      <w:r>
        <w:rPr>
          <w:rFonts w:ascii="宋体" w:hAnsi="宋体" w:cs="宋体"/>
          <w:kern w:val="0"/>
          <w:sz w:val="24"/>
          <w:szCs w:val="24"/>
        </w:rPr>
        <w:t>1997</w:t>
      </w:r>
      <w:r>
        <w:rPr>
          <w:rFonts w:hint="eastAsia" w:ascii="宋体" w:hAnsi="宋体" w:cs="宋体"/>
          <w:kern w:val="0"/>
          <w:sz w:val="24"/>
          <w:szCs w:val="24"/>
        </w:rPr>
        <w:t>）》、《地球物理勘察技术符号（</w:t>
      </w:r>
      <w:r>
        <w:rPr>
          <w:rFonts w:ascii="宋体" w:hAnsi="宋体" w:cs="宋体"/>
          <w:kern w:val="0"/>
          <w:sz w:val="24"/>
          <w:szCs w:val="24"/>
        </w:rPr>
        <w:t>GB/T14499</w:t>
      </w:r>
      <w:r>
        <w:rPr>
          <w:rFonts w:hint="eastAsia" w:ascii="宋体" w:hAnsi="宋体" w:cs="宋体"/>
          <w:kern w:val="0"/>
          <w:sz w:val="24"/>
          <w:szCs w:val="24"/>
        </w:rPr>
        <w:t>－</w:t>
      </w:r>
      <w:r>
        <w:rPr>
          <w:rFonts w:ascii="宋体" w:hAnsi="宋体" w:cs="宋体"/>
          <w:kern w:val="0"/>
          <w:sz w:val="24"/>
          <w:szCs w:val="24"/>
        </w:rPr>
        <w:t>1993</w:t>
      </w:r>
      <w:r>
        <w:rPr>
          <w:rFonts w:hint="eastAsia" w:ascii="宋体" w:hAnsi="宋体" w:cs="宋体"/>
          <w:kern w:val="0"/>
          <w:sz w:val="24"/>
          <w:szCs w:val="24"/>
        </w:rPr>
        <w:t>）》、《地球物理勘察图图式图例及用色标准（</w:t>
      </w:r>
      <w:r>
        <w:rPr>
          <w:rFonts w:ascii="宋体" w:hAnsi="宋体" w:cs="宋体"/>
          <w:kern w:val="0"/>
          <w:sz w:val="24"/>
          <w:szCs w:val="24"/>
        </w:rPr>
        <w:t>DZ/T0069</w:t>
      </w:r>
      <w:r>
        <w:rPr>
          <w:rFonts w:hint="eastAsia" w:ascii="宋体" w:hAnsi="宋体" w:cs="宋体"/>
          <w:kern w:val="0"/>
          <w:sz w:val="24"/>
          <w:szCs w:val="24"/>
        </w:rPr>
        <w:t>－</w:t>
      </w:r>
      <w:r>
        <w:rPr>
          <w:rFonts w:ascii="宋体" w:hAnsi="宋体" w:cs="宋体"/>
          <w:kern w:val="0"/>
          <w:sz w:val="24"/>
          <w:szCs w:val="24"/>
        </w:rPr>
        <w:t>1993</w:t>
      </w:r>
      <w:r>
        <w:rPr>
          <w:rFonts w:hint="eastAsia" w:ascii="宋体" w:hAnsi="宋体" w:cs="宋体"/>
          <w:kern w:val="0"/>
          <w:sz w:val="24"/>
          <w:szCs w:val="24"/>
        </w:rPr>
        <w:t>）》、《地球物理勘察名词术语（报批稿）》、《城市工程地球物理探测规范（</w:t>
      </w:r>
      <w:r>
        <w:rPr>
          <w:rFonts w:ascii="宋体" w:hAnsi="宋体" w:cs="宋体"/>
          <w:kern w:val="0"/>
          <w:sz w:val="24"/>
          <w:szCs w:val="24"/>
        </w:rPr>
        <w:t>CJJ7</w:t>
      </w:r>
      <w:r>
        <w:rPr>
          <w:rFonts w:hint="eastAsia" w:ascii="宋体" w:hAnsi="宋体" w:cs="宋体"/>
          <w:kern w:val="0"/>
          <w:sz w:val="24"/>
          <w:szCs w:val="24"/>
        </w:rPr>
        <w:t>－</w:t>
      </w:r>
      <w:r>
        <w:rPr>
          <w:rFonts w:ascii="宋体" w:hAnsi="宋体" w:cs="宋体"/>
          <w:kern w:val="0"/>
          <w:sz w:val="24"/>
          <w:szCs w:val="24"/>
        </w:rPr>
        <w:t>2007</w:t>
      </w:r>
      <w:r>
        <w:rPr>
          <w:rFonts w:hint="eastAsia" w:ascii="宋体" w:hAnsi="宋体" w:cs="宋体"/>
          <w:kern w:val="0"/>
          <w:sz w:val="24"/>
          <w:szCs w:val="24"/>
        </w:rPr>
        <w:t>）》以及相关的行业标准、规范。如标准版本修订或变化，其现行最新版本适用于本要求。</w:t>
      </w:r>
    </w:p>
    <w:p w14:paraId="53289842">
      <w:pPr>
        <w:widowControl/>
        <w:spacing w:line="560" w:lineRule="exact"/>
        <w:ind w:left="63" w:leftChars="30" w:right="63" w:firstLine="360" w:firstLineChars="150"/>
        <w:jc w:val="left"/>
        <w:rPr>
          <w:rFonts w:ascii="宋体" w:hAnsi="宋体" w:cs="宋体"/>
          <w:kern w:val="0"/>
          <w:sz w:val="24"/>
          <w:szCs w:val="24"/>
        </w:rPr>
      </w:pPr>
      <w:r>
        <w:rPr>
          <w:rFonts w:ascii="宋体" w:hAnsi="宋体" w:cs="宋体"/>
          <w:kern w:val="0"/>
          <w:sz w:val="24"/>
          <w:szCs w:val="24"/>
        </w:rPr>
        <w:t>2.1.2.</w:t>
      </w:r>
      <w:r>
        <w:rPr>
          <w:rFonts w:hint="eastAsia" w:ascii="宋体" w:hAnsi="宋体" w:cs="宋体"/>
          <w:kern w:val="0"/>
          <w:sz w:val="24"/>
          <w:szCs w:val="24"/>
        </w:rPr>
        <w:t>技术要求</w:t>
      </w:r>
    </w:p>
    <w:p w14:paraId="2746ECFF">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测线布设：测线布置（场地允许的前提）以能够控制工程场地的断裂构造为原则，使通过场区的断裂至少能被其中一条或二条测线控制。在发现场地有断裂通过的情况时，适当加密测线或测点，以确定断裂的走向、产状以活动年代等。在场地条件不允许的时候，应根据近场地质构造情况，尽量布设能控制断裂方向的测线，以确定近场断裂是否通过场地。原则上以甲方室内布设的测线为重要参考，确因场地条件限制，勘探单位现场负责人员应及时与项目负责人或地球物理部负责人联系，协商确定测线布设结果。</w:t>
      </w:r>
    </w:p>
    <w:p w14:paraId="5F886686">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）观测系统：勘探单位应根据场地条件进行现场试验，确定最佳观测系统，道间距不大于3m，覆盖次数不低于24次，接收道数不低于120道。如观测系统明显不符合勘探工作需要，甲方有权要求勘探单位无偿返工。</w:t>
      </w:r>
    </w:p>
    <w:p w14:paraId="1F742966">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）所有测线起止点均应在现场进行</w:t>
      </w:r>
      <w:r>
        <w:rPr>
          <w:rFonts w:ascii="宋体" w:hAnsi="宋体" w:cs="宋体"/>
          <w:kern w:val="0"/>
          <w:sz w:val="24"/>
          <w:szCs w:val="24"/>
        </w:rPr>
        <w:t>GPS</w:t>
      </w:r>
      <w:r>
        <w:rPr>
          <w:rFonts w:hint="eastAsia" w:ascii="宋体" w:hAnsi="宋体" w:cs="宋体"/>
          <w:kern w:val="0"/>
          <w:sz w:val="24"/>
          <w:szCs w:val="24"/>
        </w:rPr>
        <w:t>定位。</w:t>
      </w:r>
    </w:p>
    <w:p w14:paraId="0212C224">
      <w:pPr>
        <w:widowControl/>
        <w:spacing w:line="560" w:lineRule="exact"/>
        <w:ind w:left="63" w:leftChars="30" w:right="63" w:firstLine="360" w:firstLineChars="150"/>
        <w:jc w:val="left"/>
        <w:rPr>
          <w:rFonts w:ascii="宋体" w:hAnsi="宋体" w:cs="宋体"/>
          <w:b/>
          <w:bCs/>
          <w:kern w:val="0"/>
          <w:sz w:val="24"/>
          <w:szCs w:val="24"/>
        </w:rPr>
      </w:pPr>
      <w:r>
        <w:rPr>
          <w:rFonts w:hint="eastAsia" w:ascii="宋体" w:hAnsi="宋体" w:cs="宋体"/>
          <w:kern w:val="0"/>
          <w:sz w:val="24"/>
          <w:szCs w:val="24"/>
        </w:rPr>
        <w:t>（4）为保证所采集勘探数据的准确性与可信性，野外工作中须使用落锤震源激发地震波，落锤重量不低于200Kg。</w:t>
      </w:r>
    </w:p>
    <w:p w14:paraId="610C2EF9">
      <w:pPr>
        <w:widowControl/>
        <w:spacing w:line="560" w:lineRule="exact"/>
        <w:ind w:left="63" w:leftChars="30" w:right="63" w:firstLine="360" w:firstLineChars="150"/>
        <w:jc w:val="left"/>
        <w:rPr>
          <w:rFonts w:ascii="宋体" w:hAnsi="宋体" w:cs="宋体"/>
          <w:kern w:val="0"/>
          <w:sz w:val="24"/>
          <w:szCs w:val="24"/>
        </w:rPr>
      </w:pPr>
      <w:r>
        <w:rPr>
          <w:rFonts w:ascii="宋体" w:hAnsi="宋体" w:cs="宋体"/>
          <w:kern w:val="0"/>
          <w:sz w:val="24"/>
          <w:szCs w:val="24"/>
        </w:rPr>
        <w:t>2.1.3.</w:t>
      </w:r>
      <w:r>
        <w:rPr>
          <w:rFonts w:hint="eastAsia" w:ascii="宋体" w:hAnsi="宋体" w:cs="宋体"/>
          <w:kern w:val="0"/>
          <w:sz w:val="24"/>
          <w:szCs w:val="24"/>
        </w:rPr>
        <w:t>服务要求</w:t>
      </w:r>
    </w:p>
    <w:p w14:paraId="2C58C2EA">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（1）进场时间</w:t>
      </w:r>
    </w:p>
    <w:p w14:paraId="34BB2DB1">
      <w:pPr>
        <w:widowControl/>
        <w:spacing w:line="560" w:lineRule="exact"/>
        <w:ind w:right="63" w:firstLine="440"/>
        <w:jc w:val="left"/>
        <w:rPr>
          <w:rFonts w:ascii="宋体" w:hAnsi="宋体" w:cs="宋体"/>
          <w:kern w:val="0"/>
          <w:sz w:val="24"/>
          <w:szCs w:val="24"/>
        </w:rPr>
      </w:pPr>
      <w:r>
        <w:rPr>
          <w:rFonts w:hint="eastAsia" w:ascii="宋体" w:hAnsi="宋体" w:cs="宋体"/>
          <w:kern w:val="0"/>
          <w:sz w:val="24"/>
          <w:szCs w:val="24"/>
        </w:rPr>
        <w:t>a.陆域勘探：必须在收到勘探项目任务单后（通常以电子邮件方式发送，下同）</w:t>
      </w:r>
      <w:r>
        <w:rPr>
          <w:rFonts w:ascii="宋体" w:hAnsi="宋体" w:cs="宋体"/>
          <w:kern w:val="0"/>
          <w:sz w:val="24"/>
          <w:szCs w:val="24"/>
        </w:rPr>
        <w:t>3</w:t>
      </w:r>
      <w:r>
        <w:rPr>
          <w:rFonts w:hint="eastAsia" w:ascii="宋体" w:hAnsi="宋体" w:cs="宋体"/>
          <w:kern w:val="0"/>
          <w:sz w:val="24"/>
          <w:szCs w:val="24"/>
        </w:rPr>
        <w:t>天内安排进场，开展勘探相关工作，并按要求进度完成野外工作。不得以任何理由推脱、拒绝已收到的勘察任务。</w:t>
      </w:r>
    </w:p>
    <w:p w14:paraId="21215829">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b.水域勘探：应根据实际情况，在确保安全的基础上，尽最大努力以最快的速度安排开展勘探工作，原则上应在收到勘探项目任务单后</w:t>
      </w:r>
      <w:r>
        <w:rPr>
          <w:rFonts w:ascii="宋体" w:hAnsi="宋体" w:cs="宋体"/>
          <w:kern w:val="0"/>
          <w:sz w:val="24"/>
          <w:szCs w:val="24"/>
        </w:rPr>
        <w:t>7</w:t>
      </w:r>
      <w:r>
        <w:rPr>
          <w:rFonts w:hint="eastAsia" w:ascii="宋体" w:hAnsi="宋体" w:cs="宋体"/>
          <w:kern w:val="0"/>
          <w:sz w:val="24"/>
          <w:szCs w:val="24"/>
        </w:rPr>
        <w:t>天内安排进场；特殊情况下不能在规定时间内进场，应给出书面解释。不得以任何理由推脱、拒绝已收到的勘察任务。</w:t>
      </w:r>
    </w:p>
    <w:p w14:paraId="2214CB56">
      <w:pPr>
        <w:widowControl/>
        <w:spacing w:line="560" w:lineRule="exact"/>
        <w:ind w:left="63" w:leftChars="30" w:right="63" w:firstLine="360" w:firstLineChars="150"/>
        <w:jc w:val="left"/>
        <w:rPr>
          <w:rFonts w:ascii="宋体" w:hAnsi="宋体" w:cs="宋体"/>
          <w:kern w:val="0"/>
          <w:sz w:val="24"/>
          <w:szCs w:val="24"/>
        </w:rPr>
      </w:pPr>
      <w:r>
        <w:rPr>
          <w:rFonts w:hint="eastAsia" w:ascii="宋体" w:hAnsi="宋体" w:cs="宋体"/>
          <w:kern w:val="0"/>
          <w:sz w:val="24"/>
          <w:szCs w:val="24"/>
        </w:rPr>
        <w:t>（2）成果提交</w:t>
      </w:r>
    </w:p>
    <w:p w14:paraId="652FB71D">
      <w:pPr>
        <w:widowControl/>
        <w:spacing w:line="560" w:lineRule="exact"/>
        <w:ind w:left="63" w:leftChars="30" w:right="63" w:firstLine="360" w:firstLineChars="150"/>
        <w:jc w:val="left"/>
        <w:rPr>
          <w:rFonts w:ascii="宋体" w:hAnsi="宋体" w:cs="宋体"/>
          <w:kern w:val="0"/>
          <w:sz w:val="24"/>
          <w:szCs w:val="24"/>
        </w:rPr>
      </w:pPr>
      <w:r>
        <w:rPr>
          <w:rFonts w:ascii="宋体" w:hAnsi="宋体" w:cs="宋体"/>
          <w:kern w:val="0"/>
          <w:sz w:val="24"/>
          <w:szCs w:val="24"/>
        </w:rPr>
        <w:t>a</w:t>
      </w:r>
      <w:r>
        <w:rPr>
          <w:rFonts w:hint="eastAsia" w:ascii="宋体" w:hAnsi="宋体" w:cs="宋体"/>
          <w:kern w:val="0"/>
          <w:sz w:val="24"/>
          <w:szCs w:val="24"/>
        </w:rPr>
        <w:t>．野外勘探工作完成后</w:t>
      </w:r>
      <w:r>
        <w:rPr>
          <w:rFonts w:ascii="宋体" w:hAnsi="宋体" w:cs="宋体"/>
          <w:kern w:val="0"/>
          <w:sz w:val="24"/>
          <w:szCs w:val="24"/>
        </w:rPr>
        <w:t>15</w:t>
      </w:r>
      <w:r>
        <w:rPr>
          <w:rFonts w:hint="eastAsia" w:ascii="宋体" w:hAnsi="宋体" w:cs="宋体"/>
          <w:kern w:val="0"/>
          <w:sz w:val="24"/>
          <w:szCs w:val="24"/>
        </w:rPr>
        <w:t>日内提交地球物理勘探报告电子文档资料（含物探报告、原始记录、现场工作照片、地震工作布置图、地震剖面图和地质综合解释图等）；</w:t>
      </w:r>
    </w:p>
    <w:p w14:paraId="0DD5ECF6">
      <w:pPr>
        <w:widowControl/>
        <w:spacing w:line="560" w:lineRule="exact"/>
        <w:ind w:left="63" w:leftChars="30" w:right="63" w:firstLine="360" w:firstLineChars="150"/>
        <w:jc w:val="left"/>
        <w:rPr>
          <w:rFonts w:ascii="宋体" w:hAnsi="宋体" w:cs="宋体"/>
          <w:kern w:val="0"/>
          <w:sz w:val="24"/>
          <w:szCs w:val="24"/>
        </w:rPr>
      </w:pPr>
      <w:r>
        <w:rPr>
          <w:rFonts w:ascii="宋体" w:hAnsi="宋体" w:cs="宋体"/>
          <w:kern w:val="0"/>
          <w:sz w:val="24"/>
          <w:szCs w:val="24"/>
        </w:rPr>
        <w:t>b</w:t>
      </w:r>
      <w:r>
        <w:rPr>
          <w:rFonts w:hint="eastAsia" w:ascii="宋体" w:hAnsi="宋体" w:cs="宋体"/>
          <w:kern w:val="0"/>
          <w:sz w:val="24"/>
          <w:szCs w:val="24"/>
        </w:rPr>
        <w:t>．勘探主要成果要求：基岩波组必须清晰可靠，时间叠加剖面信噪比较高，波组能比较容易追踪，应尽量获得第四系内部反射波组；提供的时间叠加剖面及解释剖面比例应协调，图片整洁美观。时间叠加剖面地质解释和断层解释应准确。</w:t>
      </w:r>
    </w:p>
    <w:p w14:paraId="029DB8DA">
      <w:pPr>
        <w:spacing w:line="560" w:lineRule="exact"/>
        <w:ind w:firstLine="440"/>
        <w:rPr>
          <w:sz w:val="24"/>
          <w:szCs w:val="24"/>
        </w:rPr>
      </w:pPr>
      <w:r>
        <w:rPr>
          <w:rFonts w:ascii="宋体" w:hAnsi="宋体" w:cs="宋体"/>
          <w:kern w:val="0"/>
          <w:sz w:val="24"/>
          <w:szCs w:val="24"/>
        </w:rPr>
        <w:t>c</w:t>
      </w:r>
      <w:r>
        <w:rPr>
          <w:rFonts w:hint="eastAsia" w:ascii="宋体" w:hAnsi="宋体" w:cs="宋体"/>
          <w:kern w:val="0"/>
          <w:sz w:val="24"/>
          <w:szCs w:val="24"/>
        </w:rPr>
        <w:t>．提交电子版成果资料且通过甲方验收审查后</w:t>
      </w:r>
      <w:r>
        <w:rPr>
          <w:rFonts w:ascii="宋体" w:hAnsi="宋体" w:cs="宋体"/>
          <w:kern w:val="0"/>
          <w:sz w:val="24"/>
          <w:szCs w:val="24"/>
        </w:rPr>
        <w:t>5</w:t>
      </w:r>
      <w:r>
        <w:rPr>
          <w:rFonts w:hint="eastAsia" w:ascii="宋体" w:hAnsi="宋体" w:cs="宋体"/>
          <w:kern w:val="0"/>
          <w:sz w:val="24"/>
          <w:szCs w:val="24"/>
        </w:rPr>
        <w:t>日内提交纸质版报告成果资料</w:t>
      </w:r>
      <w:r>
        <w:rPr>
          <w:rFonts w:ascii="宋体" w:hAnsi="宋体" w:cs="宋体"/>
          <w:kern w:val="0"/>
          <w:sz w:val="24"/>
          <w:szCs w:val="24"/>
        </w:rPr>
        <w:t>3</w:t>
      </w:r>
      <w:r>
        <w:rPr>
          <w:rFonts w:hint="eastAsia" w:ascii="宋体" w:hAnsi="宋体" w:cs="宋体"/>
          <w:kern w:val="0"/>
          <w:sz w:val="24"/>
          <w:szCs w:val="24"/>
        </w:rPr>
        <w:t>份。</w:t>
      </w:r>
    </w:p>
    <w:p w14:paraId="302D8001">
      <w:pPr>
        <w:ind w:firstLine="442"/>
        <w:rPr>
          <w:b/>
          <w:bCs/>
          <w:sz w:val="22"/>
          <w:szCs w:val="28"/>
        </w:rPr>
      </w:pPr>
    </w:p>
    <w:p w14:paraId="595DC10C">
      <w:pPr>
        <w:rPr>
          <w:sz w:val="22"/>
          <w:szCs w:val="28"/>
        </w:rPr>
      </w:pPr>
    </w:p>
    <w:bookmarkEnd w:id="1"/>
    <w:p w14:paraId="1CF9F662">
      <w:pPr>
        <w:widowControl/>
        <w:jc w:val="left"/>
      </w:pPr>
    </w:p>
    <w:sectPr>
      <w:footerReference r:id="rId4" w:type="default"/>
      <w:headerReference r:id="rId3" w:type="even"/>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A67C">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8F39">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1B06F56A">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6.05pt;mso-position-horizontal:outside;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tSsE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yWfcWaFoYYff3w//vx1&#10;vP/GZtGezvmCsu4c5YX+NfQ0NEmqd7cgv3hm4aYRdquuEaFrlKiI3jS+zB48HXB8BNl076CiOmIX&#10;IAH1NZroHbnBCJ1aczi3RvWBSTp8NZ1e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rUrBDQoCAAACBAAADgAAAAAAAAABACAAAAAgAQAA&#10;ZHJzL2Uyb0RvYy54bWxQSwUGAAAAAAYABgBZAQAAnAUAAAAA&#10;">
              <v:fill on="f" focussize="0,0"/>
              <v:stroke on="f"/>
              <v:imagedata o:title=""/>
              <o:lock v:ext="edit" aspectratio="f"/>
              <v:textbox inset="0mm,0mm,0mm,0mm" style="mso-fit-shape-to-text:t;">
                <w:txbxContent>
                  <w:p w14:paraId="1B06F56A">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B1F0">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DB"/>
    <w:rsid w:val="00022F17"/>
    <w:rsid w:val="000E2425"/>
    <w:rsid w:val="00102FA9"/>
    <w:rsid w:val="001043F4"/>
    <w:rsid w:val="0012008F"/>
    <w:rsid w:val="0017331D"/>
    <w:rsid w:val="00184FC7"/>
    <w:rsid w:val="001D6607"/>
    <w:rsid w:val="001E51BE"/>
    <w:rsid w:val="001F6398"/>
    <w:rsid w:val="00241C82"/>
    <w:rsid w:val="002665A8"/>
    <w:rsid w:val="002E4146"/>
    <w:rsid w:val="003564A2"/>
    <w:rsid w:val="00356B18"/>
    <w:rsid w:val="003B75DF"/>
    <w:rsid w:val="003D2103"/>
    <w:rsid w:val="003D7D6B"/>
    <w:rsid w:val="003F3A6D"/>
    <w:rsid w:val="004805AB"/>
    <w:rsid w:val="004B74C2"/>
    <w:rsid w:val="004D35DB"/>
    <w:rsid w:val="0059773E"/>
    <w:rsid w:val="005B4BA9"/>
    <w:rsid w:val="005D13D5"/>
    <w:rsid w:val="0060250D"/>
    <w:rsid w:val="00603B1F"/>
    <w:rsid w:val="0060491E"/>
    <w:rsid w:val="006513A4"/>
    <w:rsid w:val="006A7665"/>
    <w:rsid w:val="006C3856"/>
    <w:rsid w:val="006D5007"/>
    <w:rsid w:val="00701C88"/>
    <w:rsid w:val="00782A16"/>
    <w:rsid w:val="007D1E55"/>
    <w:rsid w:val="007F25E3"/>
    <w:rsid w:val="00827659"/>
    <w:rsid w:val="00853C74"/>
    <w:rsid w:val="00873018"/>
    <w:rsid w:val="008822B5"/>
    <w:rsid w:val="008919E5"/>
    <w:rsid w:val="008A46B1"/>
    <w:rsid w:val="008A7A15"/>
    <w:rsid w:val="00921382"/>
    <w:rsid w:val="00930E63"/>
    <w:rsid w:val="00994AD0"/>
    <w:rsid w:val="009C619F"/>
    <w:rsid w:val="00A127D2"/>
    <w:rsid w:val="00A64A94"/>
    <w:rsid w:val="00A6661C"/>
    <w:rsid w:val="00A816E0"/>
    <w:rsid w:val="00AE061F"/>
    <w:rsid w:val="00AE1F4B"/>
    <w:rsid w:val="00B16DE4"/>
    <w:rsid w:val="00B8419F"/>
    <w:rsid w:val="00BB3676"/>
    <w:rsid w:val="00BE62E5"/>
    <w:rsid w:val="00C16362"/>
    <w:rsid w:val="00C729BF"/>
    <w:rsid w:val="00C96698"/>
    <w:rsid w:val="00CA636C"/>
    <w:rsid w:val="00D14C8D"/>
    <w:rsid w:val="00D226E6"/>
    <w:rsid w:val="00D56CD4"/>
    <w:rsid w:val="00D93C12"/>
    <w:rsid w:val="00DB4BFE"/>
    <w:rsid w:val="00DC39B0"/>
    <w:rsid w:val="00DF3ED5"/>
    <w:rsid w:val="00E8158D"/>
    <w:rsid w:val="00EF670B"/>
    <w:rsid w:val="00F9684C"/>
    <w:rsid w:val="00FD7321"/>
    <w:rsid w:val="00FF12D3"/>
    <w:rsid w:val="0C727FBC"/>
    <w:rsid w:val="118A2C19"/>
    <w:rsid w:val="123C3769"/>
    <w:rsid w:val="142E23CD"/>
    <w:rsid w:val="14927933"/>
    <w:rsid w:val="1533190A"/>
    <w:rsid w:val="1A7C004F"/>
    <w:rsid w:val="1C3C14D5"/>
    <w:rsid w:val="22B0255D"/>
    <w:rsid w:val="2480601A"/>
    <w:rsid w:val="24CF08E7"/>
    <w:rsid w:val="2EF9379A"/>
    <w:rsid w:val="2FBA1CBB"/>
    <w:rsid w:val="304236ED"/>
    <w:rsid w:val="327A6C82"/>
    <w:rsid w:val="35A847C8"/>
    <w:rsid w:val="390F4D05"/>
    <w:rsid w:val="3936636C"/>
    <w:rsid w:val="3E6E7358"/>
    <w:rsid w:val="41B80F14"/>
    <w:rsid w:val="426A0E03"/>
    <w:rsid w:val="527B6107"/>
    <w:rsid w:val="5BB167FD"/>
    <w:rsid w:val="5E2765A7"/>
    <w:rsid w:val="630B32EB"/>
    <w:rsid w:val="693C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line="360" w:lineRule="auto"/>
      <w:ind w:firstLine="200" w:firstLineChars="200"/>
      <w:jc w:val="center"/>
      <w:outlineLvl w:val="0"/>
    </w:pPr>
    <w:rPr>
      <w:rFonts w:ascii="Calibri" w:hAnsi="Calibri" w:eastAsia="宋体"/>
      <w:b/>
      <w:bCs/>
      <w:kern w:val="44"/>
      <w:sz w:val="24"/>
      <w:szCs w:val="44"/>
    </w:rPr>
  </w:style>
  <w:style w:type="paragraph" w:styleId="3">
    <w:name w:val="heading 2"/>
    <w:basedOn w:val="1"/>
    <w:next w:val="1"/>
    <w:qFormat/>
    <w:uiPriority w:val="99"/>
    <w:pPr>
      <w:keepNext/>
      <w:keepLines/>
      <w:spacing w:line="360" w:lineRule="auto"/>
      <w:outlineLvl w:val="1"/>
    </w:pPr>
    <w:rPr>
      <w:rFonts w:ascii="Cambria" w:hAnsi="Cambria" w:eastAsia="宋体"/>
      <w:b/>
      <w:bCs/>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span_l"/>
    <w:basedOn w:val="11"/>
    <w:qFormat/>
    <w:uiPriority w:val="0"/>
  </w:style>
  <w:style w:type="paragraph" w:customStyle="1" w:styleId="16">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1062</Words>
  <Characters>1133</Characters>
  <Lines>8</Lines>
  <Paragraphs>2</Paragraphs>
  <TotalTime>0</TotalTime>
  <ScaleCrop>false</ScaleCrop>
  <LinksUpToDate>false</LinksUpToDate>
  <CharactersWithSpaces>1134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2025-09-12T09:58:00Z</dcterms:created>
  <dc:creator>Xwei</dc:creator>
  <cp:lastModifiedBy>ashinx</cp:lastModifiedBy>
  <cp:lastPrinted>2025-09-12T08:34:00Z</cp:lastPrinted>
  <dcterms:modified xsi:type="dcterms:W3CDTF">2025-09-15T07:06:37Z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eyJoZGlkIjoiY2QxMTIwNGQxODg4OGZhZWI1ZmU1ZmNiNWJhMzY1MGUiLCJ1c2VySWQiOiIzOTQ2NTk3MTYifQ==</vt:lpwstr>
  </property>
  <property fmtid="{D5CDD505-2E9C-101B-9397-08002B2CF9AE}" pid="4" name="ICV">
    <vt:lpwstr>7A71666EDD5C46868A6DB737BF3D385D_13</vt:lpwstr>
  </property>
</Properties>
</file>